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246</w:t>
      </w:r>
    </w:p>
    <w:p>
      <w:r>
        <w:t>Bundesgericht (BGE), 2010-10-18, DE</w:t>
      </w:r>
    </w:p>
    <w:p>
      <w:r>
        <w:rPr>
          <w:b/>
        </w:rPr>
        <w:t xml:space="preserve">Quelle: </w:t>
      </w:r>
      <w:r>
        <w:t>https://mcp.opencaselaw.ch/entscheid/bge_137 IV 246</w:t>
      </w:r>
    </w:p>
    <w:p>
      <w:r>
        <w:t>FR: ATF 137 IV 246</w:t>
      </w:r>
    </w:p>
    <w:p>
      <w:r>
        <w:t>IT: DTF 137 IV 246</w:t>
      </w:r>
    </w:p>
    <w:p>
      <w:pPr>
        <w:pStyle w:val="Heading2"/>
      </w:pPr>
      <w:r>
        <w:t>Regeste</w:t>
      </w:r>
    </w:p>
    <w:p>
      <w:r>
        <w:t>Regeste Art. 81 Abs. 1 lit. b Ziff. 5 BGG; Legitimation der Privatklägerschaft. Am 1. Januar 2011 ist die revidierte Bestimmung von Art. 81 Abs. 1 lit. b Ziff. 5 BGG in Kraft getreten. Die Voraussetzung, dass sich der angefochtene Entscheid auf die Beurteilung der Zivilansprüche auswirken kann, blieb dabei unverändert. An der bisherigen Praxis zur Beschwerdebefugnis des Opfers gemäss aArt. 81 Abs. 1 lit. b Ziff. 5 BGG ist insofern festzuhalten (E. 1.3.1).</w:t>
      </w:r>
    </w:p>
    <w:p>
      <w:pPr>
        <w:pStyle w:val="Heading2"/>
      </w:pPr>
      <w:r>
        <w:t>Erwägungen</w:t>
      </w:r>
    </w:p>
    <w:p>
      <w:r>
        <w:rPr>
          <w:b/>
        </w:rPr>
        <w:t>E. 1</w:t>
      </w:r>
    </w:p>
    <w:p>
      <w:r>
        <w:t>1.3.1 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Da der angefochtene Entscheid nach dem 31. Dezember 2010 datiert, beurteilt sich die Frage des rechtlich geschützten Interesses nach der am 1. Januar 2011 in Kraft getretenen Fassung von Art. 81 Abs. 1 lit. b BGG ( Art. 132 Abs. 1 BGG ). Danach wird der Privatklägerschaft ein rechtlich geschütztes Interesse zuerkannt, wenn der angefochtene Entscheid sich auf die Beurteilung ihrer Zivilansprüche auswirken kann (Art. 81 Abs. 1 lit. b Ziff. 5 BGG). In der bis zum 1. Januar 2011 geltenden Fassung dieser Bestimmung wurde dagegen nicht die Privatklägerschaft schlechthin, sondern nur das Opfer als beschwerdelegitimiert bezeichnet; dies ebenfalls unter der Voraussetzung, dass sich der angefochtene Entscheid auf die Beurteilung seiner Zivilansprüche auswirken kann (AS 2006 1227). Nach der Praxis zur Beschwerdebefugnis des Opfers (aArt. 81 Abs. 1 lit. b Ziff. 5 BGG; vgl. auch Urteil 6B_127/2007 vom 23. Juli 2007 E. 2) konnte dieses gegen ein Strafurteil, durch das der BGE 137 IV 246 S. 248 Angeschuldigte freigesprochen wurde, Rechtsmittel im Strafpunkt grundsätzlich nur erheben, wenn es, soweit zumutbar, seine Zivilansprüche aus strafbarer Handlung im Strafverfahren geltend gemacht hatte. Dies wurde damit begründet, dass das Strafverfahren nicht blosses Vehikel zur Durchsetzung von Zivilforderungen in einem Zivilprozess sein soll, den das Opfer erst nach Abschluss des Strafprozesses, je nach dessen Ausgang, anzustrengen gedenkt. Vielmehr sollte das Opfer, soweit zumutbar, seine Zivilansprüche im Strafverfahren geltend machen ( BGE 131 IV 195 E. 1.2.2 S. 198; BGE 127 IV 185 E. 1 S. 186 ff.; BGE 120 IV 44 E. 4b S. 54 f.; Urteil 6B_260/2009 vom 30. Juni 2009 E. 2.2.1 mit Hinweisen; vgl. auch BGE 125 IV 161 E. 3 S. 164 mit Hinweisen). Anders verhielt es sich im Falle der Einstellung des Strafverfahrens. Da diesfalls vom Opfer nicht verlangt werden kann, dass es bereits adhäsionsweise Zivilforderungen geltend gemacht hat, reichte es, wenn es im Verfahren vor Bundesgericht darlegte, aus welchen Gründen sich der angefochtene Entscheid inwiefern auf welche Zivilforderungen auswirken kann ( BGE 131 IV 195 E. 1.2.2 S. 199; BGE 122 IV 139 E. 1 S. 141; je mit Hinweisen). Mit der Revision von Art. 81 Abs. 1 lit. b Ziff. 5 BGG wurde die Legitimation auf die Privatklägerschaft erweitert. Die zusätzliche Voraussetzung, dass sich der angefochtene Entscheid auf die Beurteilung der Zivilansprüche auswirken kann, blieb jedoch unverändert. An der Praxis, dass der Beschwerdeführer, soweit zumutbar, seine Zivilansprüche im Strafverfahren geltend gemacht haben muss, ist deshalb ebenso festzuhalten wie an der Ausnahme im Falle von Verfahrenseinstellungen.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